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62" w:rsidRPr="00DA2362" w:rsidRDefault="00DA2362" w:rsidP="003A2AD7">
      <w:pPr>
        <w:spacing w:before="120" w:after="120" w:line="312" w:lineRule="auto"/>
        <w:ind w:firstLine="227"/>
        <w:rPr>
          <w:rFonts w:ascii="Arial" w:eastAsia="Times New Roman" w:hAnsi="Arial" w:cs="Arial"/>
          <w:color w:val="000000"/>
          <w:spacing w:val="20"/>
          <w:sz w:val="24"/>
          <w:szCs w:val="24"/>
          <w:u w:color="000000"/>
          <w:lang w:eastAsia="pl-PL"/>
        </w:rPr>
      </w:pPr>
      <w:r w:rsidRPr="00DA2362">
        <w:rPr>
          <w:rFonts w:ascii="Arial" w:eastAsia="Times New Roman" w:hAnsi="Arial" w:cs="Arial"/>
          <w:b/>
          <w:color w:val="000000"/>
          <w:spacing w:val="20"/>
          <w:sz w:val="24"/>
          <w:szCs w:val="24"/>
          <w:u w:color="000000"/>
          <w:lang w:eastAsia="pl-PL"/>
        </w:rPr>
        <w:t xml:space="preserve">INFORMACJA DODATKOWA </w:t>
      </w:r>
      <w:r w:rsidRPr="00DA2362">
        <w:rPr>
          <w:rFonts w:ascii="Arial" w:eastAsia="Times New Roman" w:hAnsi="Arial" w:cs="Arial"/>
          <w:b/>
          <w:color w:val="000000"/>
          <w:spacing w:val="20"/>
          <w:sz w:val="24"/>
          <w:szCs w:val="24"/>
          <w:u w:color="000000"/>
          <w:lang w:eastAsia="pl-PL"/>
        </w:rPr>
        <w:br/>
      </w:r>
    </w:p>
    <w:tbl>
      <w:tblPr>
        <w:tblW w:w="5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7735"/>
        <w:gridCol w:w="1320"/>
      </w:tblGrid>
      <w:tr w:rsidR="00DA2362" w:rsidRPr="00DA2362" w:rsidTr="00DA2362">
        <w:trPr>
          <w:gridAfter w:val="1"/>
          <w:wAfter w:w="1320" w:type="dxa"/>
          <w:trHeight w:hRule="exact" w:val="65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Wprowadzenie do sprawozdania finansowego, obejmuje w szczególności: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65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nazwę jednostki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Przedszkole Publiczne nr 1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1.2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siedzibę jednostki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Łask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1.3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adres jednostki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Jana Pawła II  6 b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1.4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podstawowy przedmiot działalności jednostki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Działalność edukacyjna w zakresie wychowania przedszkolnego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wskazanie okresu objętego sprawozdaniem</w:t>
            </w:r>
          </w:p>
        </w:tc>
      </w:tr>
      <w:tr w:rsidR="00DA2362" w:rsidRPr="00DA2362" w:rsidTr="00DA2362">
        <w:trPr>
          <w:gridAfter w:val="1"/>
          <w:wAfter w:w="1320" w:type="dxa"/>
          <w:trHeight w:val="896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Sprawozdanie finansowe obejmuje okres od 1 stycznia 2021 roku do 31 grudnia 2021 roku oraz porównywalne dane finansowe za okres od 1 stycznia 2020 roku do 31 grudnia 2020 roku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409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wskazanie, że sprawozdanie finansowe zawiera dane łączne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1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W przypadku pozytywnej odpowiedzi wskazać należy jednostki objęte łącznym sprawozdaniem</w:t>
            </w:r>
          </w:p>
        </w:tc>
      </w:tr>
      <w:tr w:rsidR="00DA2362" w:rsidRPr="00DA2362" w:rsidTr="00DA2362">
        <w:trPr>
          <w:gridAfter w:val="1"/>
          <w:wAfter w:w="1320" w:type="dxa"/>
          <w:trHeight w:val="63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4.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omówienie przyjętych zasad (polityki) rachunkowości, w tym metod wyceny aktywów i pasywów (także amortyzacji)</w:t>
            </w:r>
          </w:p>
        </w:tc>
      </w:tr>
      <w:tr w:rsidR="00DA2362" w:rsidRPr="00DA2362" w:rsidTr="00DA2362">
        <w:trPr>
          <w:gridAfter w:val="1"/>
          <w:wAfter w:w="1320" w:type="dxa"/>
          <w:trHeight w:val="885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Zasady polityki rachunkowości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 roku obrotowym 2020 stosowano zasady wynikające z ustawy z dnia 29 września 1994 r. o rachunkowości (</w:t>
            </w:r>
            <w:proofErr w:type="spellStart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t.j</w:t>
            </w:r>
            <w:proofErr w:type="spellEnd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Dz. U. z 2018 r. poz. 395 z </w:t>
            </w:r>
            <w:proofErr w:type="spellStart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późn</w:t>
            </w:r>
            <w:proofErr w:type="spellEnd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t.j</w:t>
            </w:r>
            <w:proofErr w:type="spellEnd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Dz. U. z 2017 r. poz. 1911 z </w:t>
            </w:r>
            <w:proofErr w:type="spellStart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póź</w:t>
            </w:r>
            <w:proofErr w:type="spellEnd"/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 zm.).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 </w:t>
            </w:r>
          </w:p>
          <w:p w:rsidR="003A2AD7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 xml:space="preserve">Metody wyceny aktywów i pasywów 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Środki trwałe *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wg cen nabycia lub kosztów wytworzenia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Wartości niematerialne i prawne </w:t>
            </w: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*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wg cen nabycia lub kosztów wytworzenia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Amortyzacja 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metoda linowa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Należności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- w kwocie wymaganej zapłaty z zachowaniem ostrożności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Środki pieniężne w kasie i rachunkach bankowych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 wartości nominalne</w:t>
            </w: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br/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Materiały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- wg rzeczywistych cen zakupu, powiększone o niepodlegający odliczeniu podatek VAT</w:t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 Wynik finansowy</w:t>
            </w:r>
          </w:p>
          <w:p w:rsid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- w wiarygodnie ustalonej wartości przy zachowaniu zasady memoriału, współmierności, ostrożności i realizacji</w:t>
            </w:r>
          </w:p>
          <w:p w:rsidR="003A2AD7" w:rsidRPr="00DA2362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Pr="00DA2362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>5.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97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II.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Dodatkowe informacje i objaśnienia obejmują w szczególności: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bookmarkStart w:id="0" w:name="_GoBack"/>
            <w:bookmarkEnd w:id="0"/>
          </w:p>
        </w:tc>
      </w:tr>
      <w:tr w:rsidR="00DA2362" w:rsidRPr="00DA2362" w:rsidTr="00DA2362">
        <w:trPr>
          <w:gridAfter w:val="1"/>
          <w:wAfter w:w="1320" w:type="dxa"/>
          <w:trHeight w:hRule="exact" w:val="289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</w:t>
            </w:r>
          </w:p>
          <w:p w:rsid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– podobne przedstawienie stanów i tytułów zmian dotychczasowej amortyzacji lub umorzenia</w:t>
            </w:r>
          </w:p>
          <w:p w:rsidR="003A2AD7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  <w:p w:rsidR="003A2AD7" w:rsidRPr="00DA2362" w:rsidRDefault="003A2AD7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Tabela  1.1, Tabela 1.2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875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1.2.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aktualną wartość rynkową środków trwałych, w tym dóbr kultury – o ile jednostka dysponuje takimi informacjami</w:t>
            </w:r>
          </w:p>
        </w:tc>
      </w:tr>
      <w:tr w:rsidR="00DA2362" w:rsidRPr="00DA2362" w:rsidTr="00DA2362">
        <w:trPr>
          <w:gridAfter w:val="1"/>
          <w:wAfter w:w="1320" w:type="dxa"/>
          <w:trHeight w:val="72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Proszę podać kwotę w przypadku posiadania informacji</w:t>
            </w: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br/>
            </w:r>
          </w:p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.......................................................................................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139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1.3.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1.4.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wartość gruntów użytkowanych wieczyście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1396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1.5.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wartość nieamortyzowanych lub nieumarzanych przez jednostkę środków trwałych, używanych na podstawie umów najmu, dzierżawy i innych umów, w tym z tytułu umów leasingu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8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1.6.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liczbę oraz wartość posiadanych papierów wartościowych, w tym akcji i udziałów oraz dłużnych papierów wartościowych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2217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1.7.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9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1.8.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dane o stanie rezerw według celu ich utworzenia na początek roku obrotowego, zwiększeniach, wykorzystaniu, rozwiązaniu i stanie końcowym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9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1.9.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podział   zobowiązań   długoterminowych   o   pozostałym   od   dnia   bilansowego, przewidywanym umową lub wynikającym z innego tytułu prawnego, okresie spłaty: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a)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powyżej 1 roku do 3 lat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b)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powyżej 3 do 5 lat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c)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powyżej 5 lat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2117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lastRenderedPageBreak/>
              <w:t>1.10.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656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1.11.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łączną kwotę zobowiązań zabezpieczonych na majątku jednostki ze wskazaniem charakteru i formy tych zabezpieczeń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113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1.12.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106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1.13.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3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1.14.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łączną kwotę otrzymanych przez jednostkę gwarancji i poręczeń niewykazanych w bilansie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1.15.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wypłaconych środków pieniężnych na świadczenia pracownicze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Tabela  1.15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1.16.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2.1.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wysokość odpisów aktualizujących wartość zapasów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9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2.2.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koszt wytworzenia środków trwałych w budowie, w tym odsetki oraz różnice kursowe, które powiększyły koszt wytworzenia środków trwałych w budowie w roku obrotowym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6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79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2.3.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kwotę i charakter poszczególnych pozycji przychodów lub kosztów o nadzwyczajnej wartości lub które wystąpiły incydentalnie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107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2.4.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Nie dotyczy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2.5.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3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 xml:space="preserve">Nie dotyczy 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113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  <w:tr w:rsidR="00DA2362" w:rsidRPr="00DA2362" w:rsidTr="00DA2362">
        <w:trPr>
          <w:gridAfter w:val="1"/>
          <w:wAfter w:w="1320" w:type="dxa"/>
          <w:trHeight w:hRule="exact" w:val="243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gridAfter w:val="1"/>
          <w:wAfter w:w="1320" w:type="dxa"/>
          <w:trHeight w:hRule="exact" w:val="137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4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trHeight w:hRule="exact"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trHeight w:hRule="exact"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trHeight w:hRule="exact"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before="60"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</w:p>
        </w:tc>
      </w:tr>
      <w:tr w:rsidR="00DA2362" w:rsidRPr="00DA2362" w:rsidTr="00DA2362">
        <w:trPr>
          <w:trHeight w:hRule="exact" w:val="94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(główny księgowy)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(rok, miesiąc, dzień)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62" w:rsidRPr="00DA2362" w:rsidRDefault="00DA2362" w:rsidP="003A2AD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</w:pPr>
            <w:r w:rsidRPr="00DA2362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u w:color="000000"/>
                <w:lang w:eastAsia="pl-PL"/>
              </w:rPr>
              <w:t>(kierownik jednostki)</w:t>
            </w:r>
          </w:p>
        </w:tc>
      </w:tr>
    </w:tbl>
    <w:p w:rsidR="0078361B" w:rsidRDefault="0078361B" w:rsidP="00DA2362">
      <w:pPr>
        <w:ind w:left="-284" w:firstLine="284"/>
      </w:pPr>
    </w:p>
    <w:sectPr w:rsidR="0078361B" w:rsidSect="003A2AD7">
      <w:pgSz w:w="11906" w:h="16838"/>
      <w:pgMar w:top="1417" w:right="170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62"/>
    <w:rsid w:val="0027490E"/>
    <w:rsid w:val="003A2AD7"/>
    <w:rsid w:val="0078361B"/>
    <w:rsid w:val="00D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6C9"/>
  <w15:chartTrackingRefBased/>
  <w15:docId w15:val="{C2B80979-5C46-430C-87BC-ABE583C7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72B9-230C-446A-8FDE-4A4F947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2022-04-28T11:04:00Z</dcterms:created>
  <dcterms:modified xsi:type="dcterms:W3CDTF">2022-04-28T11:43:00Z</dcterms:modified>
</cp:coreProperties>
</file>